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Stephen Gilmore</w:t>
      </w:r>
      <w:r w:rsidDel="00000000" w:rsidR="00000000" w:rsidRPr="00000000">
        <w:rPr>
          <w:rtl w:val="0"/>
        </w:rPr>
        <w:t xml:space="preserve">                   </w:t>
      </w:r>
      <w:r w:rsidDel="00000000" w:rsidR="00000000" w:rsidRPr="00000000">
        <w:rPr>
          <w:rtl w:val="0"/>
        </w:rPr>
        <w:t xml:space="preserve"> </w:t>
        <w:tab/>
        <w:t xml:space="preserve">                          </w:t>
        <w:tab/>
        <w:tab/>
        <w:tab/>
        <w:t xml:space="preserve">  </w:t>
      </w:r>
      <w:r w:rsidDel="00000000" w:rsidR="00000000" w:rsidRPr="00000000">
        <w:rPr>
          <w:rtl w:val="0"/>
        </w:rPr>
        <w:t xml:space="preserve"> </w:t>
      </w:r>
      <w:hyperlink r:id="rId6">
        <w:r w:rsidDel="00000000" w:rsidR="00000000" w:rsidRPr="00000000">
          <w:rPr>
            <w:rtl w:val="0"/>
          </w:rPr>
          <w:t xml:space="preserve">in/stephengilmore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0" w:sz="4" w:val="single"/>
        </w:pBdr>
        <w:spacing w:before="100" w:line="240" w:lineRule="auto"/>
        <w:jc w:val="left"/>
        <w:rPr/>
      </w:pPr>
      <w:r w:rsidDel="00000000" w:rsidR="00000000" w:rsidRPr="00000000">
        <w:rPr>
          <w:rtl w:val="0"/>
        </w:rPr>
        <w:t xml:space="preserve">WORK EXPERIENCE</w:t>
      </w:r>
    </w:p>
    <w:p w:rsidR="00000000" w:rsidDel="00000000" w:rsidP="00000000" w:rsidRDefault="00000000" w:rsidRPr="00000000" w14:paraId="00000004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Workday Architect, Global HR Systems</w:t>
      </w:r>
      <w:r w:rsidDel="00000000" w:rsidR="00000000" w:rsidRPr="00000000">
        <w:rPr>
          <w:rtl w:val="0"/>
        </w:rPr>
        <w:t xml:space="preserve"> | Stryker | Mar 2024 - Present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rPr/>
      </w:pPr>
      <w:r w:rsidDel="00000000" w:rsidR="00000000" w:rsidRPr="00000000">
        <w:rPr>
          <w:rtl w:val="0"/>
        </w:rPr>
        <w:t xml:space="preserve">Established in-house HR integration capability. Authored the business case and governance framework to transition development from IT to HR, eliminating $100K–$200K per-integration IT cross-charges while accelerating the delivery process.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rPr/>
      </w:pPr>
      <w:r w:rsidDel="00000000" w:rsidR="00000000" w:rsidRPr="00000000">
        <w:rPr>
          <w:rtl w:val="0"/>
        </w:rPr>
        <w:t xml:space="preserve">Built a Workday Studio integration to automate pay transparency logic across 1,000+ job postings, achieving 4,000+ runs in 6 months, saving 2,600+ hours annually, and mitigating compliance risks.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rPr/>
      </w:pPr>
      <w:r w:rsidDel="00000000" w:rsidR="00000000" w:rsidRPr="00000000">
        <w:rPr>
          <w:rtl w:val="0"/>
        </w:rPr>
        <w:t xml:space="preserve">Built 15+ Workday integrations in ~7 months, driving key initiatives like Visier workforce analytics feeds and a 14+ integration rollout for a Morgan Stanley equity/ESPP implementation.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rPr/>
      </w:pPr>
      <w:r w:rsidDel="00000000" w:rsidR="00000000" w:rsidRPr="00000000">
        <w:rPr>
          <w:rtl w:val="0"/>
        </w:rPr>
        <w:t xml:space="preserve">Served as technical advisor for enterprise IT projects involving People data.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Lead Workday Analyst</w:t>
      </w:r>
      <w:r w:rsidDel="00000000" w:rsidR="00000000" w:rsidRPr="00000000">
        <w:rPr>
          <w:rtl w:val="0"/>
        </w:rPr>
        <w:t xml:space="preserve"> | Navan (formerly TripActions) | Jun 2022 - Mar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rPr/>
      </w:pPr>
      <w:r w:rsidDel="00000000" w:rsidR="00000000" w:rsidRPr="00000000">
        <w:rPr>
          <w:rtl w:val="0"/>
        </w:rPr>
        <w:t xml:space="preserve">Designed and built compensation grades+profiles with salary, commission, and stock ranges.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Planned and led Workday related tasks for company rebrand from TripActions to Navan.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Built integrations between Workday Greenhouse to automate data auditing and referral bonuses.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Ran 2023 US benefits open enrollment in Workday.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Sr. Manager IT Business Applications</w:t>
      </w:r>
      <w:r w:rsidDel="00000000" w:rsidR="00000000" w:rsidRPr="00000000">
        <w:rPr>
          <w:rtl w:val="0"/>
        </w:rPr>
        <w:t xml:space="preserve"> | Zendesk | Nov 2021 - Jun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Managed a team of 3 analysts supporting Workday and IT.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Conducted annual and quarterly IT &amp; HR project planning. Collaborated with 10+ HR stakeholders through requirements gathering, solution architecture, estimation, and prioritization.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Principal Business Systems Analyst</w:t>
      </w:r>
      <w:r w:rsidDel="00000000" w:rsidR="00000000" w:rsidRPr="00000000">
        <w:rPr>
          <w:rtl w:val="0"/>
        </w:rPr>
        <w:t xml:space="preserve"> | Zendesk | Mar 2021 - Nov 2021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Served as the People Applications reviewer on the </w:t>
      </w:r>
      <w:r w:rsidDel="00000000" w:rsidR="00000000" w:rsidRPr="00000000">
        <w:rPr>
          <w:rtl w:val="0"/>
        </w:rPr>
        <w:t xml:space="preserve">Enterprise Architecture Review Board.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Supported RFP’s and technology assessments, reviewed the low-level technical </w:t>
      </w:r>
      <w:r w:rsidDel="00000000" w:rsidR="00000000" w:rsidRPr="00000000">
        <w:rPr>
          <w:rtl w:val="0"/>
        </w:rPr>
        <w:t xml:space="preserve">requirements</w:t>
      </w:r>
      <w:r w:rsidDel="00000000" w:rsidR="00000000" w:rsidRPr="00000000">
        <w:rPr>
          <w:rtl w:val="0"/>
        </w:rPr>
        <w:t xml:space="preserve">, high-level business architecture, and overall feasibility.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“HRIS” advisor on a project to automate shipping laptops, saving over 3000 hours/year.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Lead Integration Analyst</w:t>
      </w:r>
      <w:r w:rsidDel="00000000" w:rsidR="00000000" w:rsidRPr="00000000">
        <w:rPr>
          <w:rtl w:val="0"/>
        </w:rPr>
        <w:t xml:space="preserve"> | Zendesk | Jan 2019 - Mar 2021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Senior Integration Analyst </w:t>
      </w:r>
      <w:r w:rsidDel="00000000" w:rsidR="00000000" w:rsidRPr="00000000">
        <w:rPr>
          <w:rtl w:val="0"/>
        </w:rPr>
        <w:t xml:space="preserve">| Zendesk | January 2018 - January 2019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270" w:hanging="180"/>
        <w:rPr/>
      </w:pPr>
      <w:r w:rsidDel="00000000" w:rsidR="00000000" w:rsidRPr="00000000">
        <w:rPr>
          <w:rtl w:val="0"/>
        </w:rPr>
        <w:t xml:space="preserve">Built 30+ Workday integrations using PECI, PICOF, CCB’s, Document Transformation, Workday Studio, RaaS, Connectors, and Report Transformation.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270" w:hanging="180"/>
        <w:rPr/>
      </w:pPr>
      <w:r w:rsidDel="00000000" w:rsidR="00000000" w:rsidRPr="00000000">
        <w:rPr>
          <w:rtl w:val="0"/>
        </w:rPr>
        <w:t xml:space="preserve">Used Python, SQL, and vendor API’s to migrate data from Lever to Workday Recruiting.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Workday Senior Consultant</w:t>
      </w:r>
      <w:r w:rsidDel="00000000" w:rsidR="00000000" w:rsidRPr="00000000">
        <w:rPr>
          <w:rtl w:val="0"/>
        </w:rPr>
        <w:t xml:space="preserve"> | Deloitte Consulting | Jun 2014 - Jan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Data conversion lead for two Fortune 500 companies across multiple industries.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Converted customer data from PeopleSoft and SAP to Workday and built integrations with a variety of Workday tools like XSLT, EIBs, Workday Studio, and REST and SOAP APIs.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Taught clients Workday integrations, payroll reporting, and led their integration testing.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000000" w:space="0" w:sz="4" w:val="single"/>
        </w:pBdr>
        <w:spacing w:before="100" w:lineRule="auto"/>
        <w:rPr/>
      </w:pPr>
      <w:r w:rsidDel="00000000" w:rsidR="00000000" w:rsidRPr="00000000">
        <w:rPr>
          <w:rtl w:val="0"/>
        </w:rPr>
        <w:t xml:space="preserve">CERTIFICATIONS &amp; EDUCATION</w:t>
      </w:r>
    </w:p>
    <w:p w:rsidR="00000000" w:rsidDel="00000000" w:rsidP="00000000" w:rsidRDefault="00000000" w:rsidRPr="00000000" w14:paraId="00000025">
      <w:pPr>
        <w:ind w:left="0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270" w:hanging="18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Certifications: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TOGAF Enterprise Architecture Certification (2022) | Workday HCM Pro | Prior Workday Integrations &amp; Advanced Reporting certifications.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270" w:hanging="18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Education:</w:t>
      </w:r>
      <w:r w:rsidDel="00000000" w:rsidR="00000000" w:rsidRPr="00000000">
        <w:rPr>
          <w:sz w:val="22"/>
          <w:szCs w:val="22"/>
          <w:rtl w:val="0"/>
        </w:rPr>
        <w:t xml:space="preserve"> M.S.</w:t>
      </w:r>
      <w:r w:rsidDel="00000000" w:rsidR="00000000" w:rsidRPr="00000000">
        <w:rPr>
          <w:sz w:val="22"/>
          <w:szCs w:val="22"/>
          <w:rtl w:val="0"/>
        </w:rPr>
        <w:t xml:space="preserve"> Engineering in Integrated Tech. Management &amp; B.S. Industrial Engineering | Cal Poly, SLO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5840" w:w="12240" w:orient="portrait"/>
      <w:pgMar w:bottom="720" w:top="720" w:left="720" w:right="720" w:header="720" w:footer="34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Atkinson Hyperlegible N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12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US"/>
      </w:rPr>
    </w:rPrDefault>
    <w:pPrDefault>
      <w:pPr>
        <w:ind w:left="270" w:hanging="18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inkedin.com/in/stephengilmor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tkinsonHyperlegibleNext-regular.ttf"/><Relationship Id="rId2" Type="http://schemas.openxmlformats.org/officeDocument/2006/relationships/font" Target="fonts/AtkinsonHyperlegibleNext-bold.ttf"/><Relationship Id="rId3" Type="http://schemas.openxmlformats.org/officeDocument/2006/relationships/font" Target="fonts/AtkinsonHyperlegibleNext-italic.ttf"/><Relationship Id="rId4" Type="http://schemas.openxmlformats.org/officeDocument/2006/relationships/font" Target="fonts/AtkinsonHyperlegibleN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